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9616" w14:textId="7CD7E773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1B63A3">
        <w:rPr>
          <w:rFonts w:ascii="Times New Roman" w:hAnsi="Times New Roman" w:cs="Times New Roman"/>
          <w:b/>
          <w:sz w:val="26"/>
          <w:szCs w:val="26"/>
        </w:rPr>
        <w:t>XÉT NHÓM NGHIÊN CỨU MẠNH CẤP ĐHQGHN</w:t>
      </w:r>
      <w:bookmarkStart w:id="0" w:name="_GoBack"/>
      <w:bookmarkEnd w:id="0"/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5E5455E3" w:rsidR="000C5BB1" w:rsidRPr="000C5BB1" w:rsidRDefault="000C5BB1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3E56AA71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đào tạo</w:t>
            </w:r>
            <w:r w:rsidR="001B63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nghiên cứu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2CFEF423" w:rsidR="000C5BB1" w:rsidRP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3E316E3D" w14:textId="3C1D356D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26/2014/QĐ/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TTg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DFF7A93" w14:textId="21EEBD5E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Quyết định số 2970/ĐHQGHN-KHCN ngày 17/8/2015 về việc ban hành Quy định tổ chức khen thưởng công trình nghiên cứu khoa học sinh viên ĐHQGHN</w:t>
            </w:r>
          </w:p>
          <w:p w14:paraId="13B5DAFA" w14:textId="77777777" w:rsidR="000C5BB1" w:rsidRDefault="000C5BB1" w:rsidP="000C5BB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1212/QĐ-ĐHQGHN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26/4/2019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thi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đua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khen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thưởng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Hà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(ĐHQGHN)</w:t>
            </w:r>
          </w:p>
          <w:p w14:paraId="53F41453" w14:textId="0FFDB92E" w:rsidR="00EE7A7A" w:rsidRPr="000C5BB1" w:rsidRDefault="00EE7A7A" w:rsidP="000C5BB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3C8A43C3" w:rsidR="000C5BB1" w:rsidRPr="001945A3" w:rsidRDefault="000C5BB1" w:rsidP="004A0032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Công văn giới thiệu của thủ trưởng đơn vị cơ sở đào tạo</w:t>
            </w:r>
            <w:r w:rsidR="00194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kèm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Danh sách tổng hợp các công trình nghiên cứu KHSV của đơn vị đề nghị ĐHQGHN xét khen thưởng</w:t>
            </w:r>
            <w:r w:rsidR="00194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0D403E5" w14:textId="77777777" w:rsidTr="004A0032">
        <w:tc>
          <w:tcPr>
            <w:tcW w:w="709" w:type="dxa"/>
          </w:tcPr>
          <w:p w14:paraId="25E66753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1316A303" w14:textId="76F76A64" w:rsidR="000C5BB1" w:rsidRPr="00E8267B" w:rsidRDefault="000C5BB1" w:rsidP="004A00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2.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Báo cáo kết quả khoa học của đề tài</w:t>
            </w:r>
          </w:p>
        </w:tc>
        <w:tc>
          <w:tcPr>
            <w:tcW w:w="1099" w:type="dxa"/>
          </w:tcPr>
          <w:p w14:paraId="667864F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33C6E88C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0C5BB1" w:rsidRPr="00E8267B" w14:paraId="728BC8E3" w14:textId="77777777" w:rsidTr="004A0032">
        <w:tc>
          <w:tcPr>
            <w:tcW w:w="709" w:type="dxa"/>
          </w:tcPr>
          <w:p w14:paraId="10A65B8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591152AE" w14:textId="046FE28A" w:rsidR="000C5BB1" w:rsidRPr="00E8267B" w:rsidRDefault="001945A3" w:rsidP="004A0032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3.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Thông tin kết quả nghiên cứu đề tài</w:t>
            </w:r>
          </w:p>
        </w:tc>
        <w:tc>
          <w:tcPr>
            <w:tcW w:w="1099" w:type="dxa"/>
          </w:tcPr>
          <w:p w14:paraId="089DCFD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293BB497" w14:textId="5B88FE10" w:rsidR="000C5BB1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1F7CD73C" w14:textId="77777777" w:rsidTr="004A0032">
        <w:tc>
          <w:tcPr>
            <w:tcW w:w="709" w:type="dxa"/>
          </w:tcPr>
          <w:p w14:paraId="469A9C65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346E9D11" w14:textId="4315106B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4.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Biên bản nhận xét của Hội đồng xét giải thưởng cấp đơn vị</w:t>
            </w:r>
          </w:p>
        </w:tc>
        <w:tc>
          <w:tcPr>
            <w:tcW w:w="1099" w:type="dxa"/>
          </w:tcPr>
          <w:p w14:paraId="128C6EDE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3085FE63" w14:textId="31878175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5BF0BA85" w14:textId="77777777" w:rsidTr="004A0032">
        <w:tc>
          <w:tcPr>
            <w:tcW w:w="709" w:type="dxa"/>
          </w:tcPr>
          <w:p w14:paraId="35B2D168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281841F3" w14:textId="56F47A4B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5.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Thông tin về sinh viên chịu trách nhiệm chính thực hiện đề tài</w:t>
            </w:r>
          </w:p>
        </w:tc>
        <w:tc>
          <w:tcPr>
            <w:tcW w:w="1099" w:type="dxa"/>
          </w:tcPr>
          <w:p w14:paraId="45A6BF79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290C67A4" w14:textId="367E3095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79DD816A" w14:textId="77777777" w:rsidTr="004A0032">
        <w:tc>
          <w:tcPr>
            <w:tcW w:w="709" w:type="dxa"/>
          </w:tcPr>
          <w:p w14:paraId="65DC1550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472A8025" w14:textId="7F8FBAE2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6.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Bản sao các bài báo, báo cáo khoa học liên quan đã công bố</w:t>
            </w:r>
          </w:p>
        </w:tc>
        <w:tc>
          <w:tcPr>
            <w:tcW w:w="1099" w:type="dxa"/>
          </w:tcPr>
          <w:p w14:paraId="4482DC5D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6B4CBC37" w14:textId="221A9E1F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5B3D2A0D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1945A3">
              <w:rPr>
                <w:rFonts w:ascii="Times New Roman" w:eastAsia="SimSun" w:hAnsi="Times New Roman" w:cs="Times New Roman"/>
                <w:sz w:val="26"/>
                <w:szCs w:val="26"/>
              </w:rPr>
              <w:t>20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0C5BB1" w:rsidRPr="00E8267B" w14:paraId="533C6034" w14:textId="77777777" w:rsidTr="004A0032">
        <w:tc>
          <w:tcPr>
            <w:tcW w:w="709" w:type="dxa"/>
          </w:tcPr>
          <w:p w14:paraId="5B4588B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</w:tcPr>
          <w:p w14:paraId="1599BBC8" w14:textId="67ACA824" w:rsidR="000C5BB1" w:rsidRPr="00E8267B" w:rsidRDefault="00EE7A7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ĐHQGHN</w:t>
            </w:r>
          </w:p>
        </w:tc>
        <w:tc>
          <w:tcPr>
            <w:tcW w:w="1735" w:type="dxa"/>
          </w:tcPr>
          <w:p w14:paraId="45C59417" w14:textId="5CBCDBA5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47CF052E" w14:textId="2A7535DA" w:rsidR="000C5BB1" w:rsidRPr="00E8267B" w:rsidRDefault="00EE7A7A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30/04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14:paraId="6C0692D8" w14:textId="46E9BCD3" w:rsidR="000C5BB1" w:rsidRPr="00E8267B" w:rsidRDefault="00EE7A7A" w:rsidP="00EE7A7A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proofErr w:type="spellEnd"/>
          </w:p>
        </w:tc>
      </w:tr>
      <w:tr w:rsidR="000C5BB1" w:rsidRPr="00E8267B" w14:paraId="0FC4B568" w14:textId="77777777" w:rsidTr="004A0032">
        <w:tc>
          <w:tcPr>
            <w:tcW w:w="709" w:type="dxa"/>
          </w:tcPr>
          <w:p w14:paraId="4E438EE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3935" w:type="dxa"/>
          </w:tcPr>
          <w:p w14:paraId="10CEBA05" w14:textId="62D3428A" w:rsidR="000C5BB1" w:rsidRPr="00E8267B" w:rsidRDefault="00EE7A7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xin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chủ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trương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BGĐ ĐHQGHN</w:t>
            </w:r>
          </w:p>
        </w:tc>
        <w:tc>
          <w:tcPr>
            <w:tcW w:w="1735" w:type="dxa"/>
          </w:tcPr>
          <w:p w14:paraId="65C313D4" w14:textId="2F9718F3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07DC86D5" w14:textId="5E97F3A1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</w:t>
            </w:r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22D528D" w14:textId="4A36A7EE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C5BB1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935" w:type="dxa"/>
          </w:tcPr>
          <w:p w14:paraId="4C43A34A" w14:textId="338B75F7" w:rsidR="000C5BB1" w:rsidRPr="00E8267B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</w:t>
            </w:r>
            <w:proofErr w:type="spellEnd"/>
          </w:p>
        </w:tc>
        <w:tc>
          <w:tcPr>
            <w:tcW w:w="1735" w:type="dxa"/>
          </w:tcPr>
          <w:p w14:paraId="59DC1A89" w14:textId="0679D36C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BF2CCA3" w14:textId="4E1FACC7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07</w:t>
            </w:r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5CA1855F" w14:textId="2D4ED788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0746175B" w14:textId="77777777" w:rsidTr="004A0032">
        <w:trPr>
          <w:trHeight w:val="80"/>
        </w:trPr>
        <w:tc>
          <w:tcPr>
            <w:tcW w:w="709" w:type="dxa"/>
          </w:tcPr>
          <w:p w14:paraId="183DF5EE" w14:textId="4AFD3028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1C105C3E" w14:textId="59A55B04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3AAF7384" w14:textId="26A5A61C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7EF633F" w14:textId="066A5DE1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5BF4EFD" w14:textId="20EF2156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1945A3" w:rsidRPr="00E8267B" w14:paraId="34D89873" w14:textId="77777777" w:rsidTr="004A0032">
        <w:trPr>
          <w:trHeight w:val="80"/>
        </w:trPr>
        <w:tc>
          <w:tcPr>
            <w:tcW w:w="709" w:type="dxa"/>
          </w:tcPr>
          <w:p w14:paraId="4B45BC72" w14:textId="5869AB43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B5</w:t>
            </w:r>
          </w:p>
        </w:tc>
        <w:tc>
          <w:tcPr>
            <w:tcW w:w="3935" w:type="dxa"/>
          </w:tcPr>
          <w:p w14:paraId="4D5B3449" w14:textId="50727420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3EF1AA50" w14:textId="282EFB76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581F9813" w14:textId="51AFC07E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4F1A0903" w14:textId="77777777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432972E4" w14:textId="77777777" w:rsidTr="004A0032">
        <w:trPr>
          <w:trHeight w:val="80"/>
        </w:trPr>
        <w:tc>
          <w:tcPr>
            <w:tcW w:w="709" w:type="dxa"/>
          </w:tcPr>
          <w:p w14:paraId="42D60BC7" w14:textId="01BF7350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B6</w:t>
            </w:r>
          </w:p>
        </w:tc>
        <w:tc>
          <w:tcPr>
            <w:tcW w:w="3935" w:type="dxa"/>
          </w:tcPr>
          <w:p w14:paraId="288EB3C0" w14:textId="616B99AE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BGĐ ĐHQGHN</w:t>
            </w:r>
          </w:p>
        </w:tc>
        <w:tc>
          <w:tcPr>
            <w:tcW w:w="1735" w:type="dxa"/>
          </w:tcPr>
          <w:p w14:paraId="05929A28" w14:textId="3D5BBA6F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43095FE" w14:textId="54D9727F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6F72A95" w14:textId="41F1AC72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74EE2D43" w14:textId="77777777" w:rsidTr="004A0032">
        <w:trPr>
          <w:trHeight w:val="80"/>
        </w:trPr>
        <w:tc>
          <w:tcPr>
            <w:tcW w:w="709" w:type="dxa"/>
          </w:tcPr>
          <w:p w14:paraId="60D6305B" w14:textId="57C346AA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B7</w:t>
            </w:r>
          </w:p>
        </w:tc>
        <w:tc>
          <w:tcPr>
            <w:tcW w:w="3935" w:type="dxa"/>
          </w:tcPr>
          <w:p w14:paraId="140A022E" w14:textId="36FD1A1E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5F02607F" w14:textId="464914FA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93CD468" w14:textId="48F510ED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2DAD85AE" w14:textId="54FE7C41" w:rsidR="001945A3" w:rsidRPr="00E8267B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proofErr w:type="spellEnd"/>
          </w:p>
        </w:tc>
      </w:tr>
      <w:tr w:rsidR="000C5BB1" w:rsidRPr="00E8267B" w14:paraId="122AA8C3" w14:textId="77777777" w:rsidTr="004A0032"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20914585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đinh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trình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viên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</w:t>
            </w:r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981518C" w14:textId="5CE01B8D" w:rsidR="000C5BB1" w:rsidRPr="00EE7A7A" w:rsidRDefault="000C5BB1" w:rsidP="004A003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NCKH</w:t>
            </w:r>
            <w:r w:rsidR="00EE7A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 viên cấp ĐHQGHN</w:t>
            </w:r>
          </w:p>
          <w:p w14:paraId="74F09A6D" w14:textId="714CAAAF" w:rsidR="000C5BB1" w:rsidRDefault="000C5BB1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Thành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lập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NCKH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Sinh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viên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ĐHQGHN</w:t>
            </w:r>
          </w:p>
          <w:p w14:paraId="71225554" w14:textId="3D43E8F4" w:rsidR="00EE7A7A" w:rsidRPr="00EE7A7A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E7A7A">
              <w:rPr>
                <w:rFonts w:ascii="Times New Roman" w:eastAsia="SimSu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C5BB1"/>
    <w:rsid w:val="001945A3"/>
    <w:rsid w:val="001B63A3"/>
    <w:rsid w:val="001D53EA"/>
    <w:rsid w:val="00845E03"/>
    <w:rsid w:val="008528E9"/>
    <w:rsid w:val="00AB1D77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  <w15:chartTrackingRefBased/>
  <w15:docId w15:val="{488C68F1-2036-4C31-ABD5-E738DA6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Khoa học công nghệ</dc:creator>
  <cp:keywords/>
  <dc:description/>
  <cp:lastModifiedBy>Ban Khoa học công nghệ</cp:lastModifiedBy>
  <cp:revision>3</cp:revision>
  <dcterms:created xsi:type="dcterms:W3CDTF">2021-09-20T02:38:00Z</dcterms:created>
  <dcterms:modified xsi:type="dcterms:W3CDTF">2021-09-22T10:01:00Z</dcterms:modified>
</cp:coreProperties>
</file>